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485.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33"/>
        <w:gridCol w:w="193"/>
        <w:gridCol w:w="2438"/>
        <w:gridCol w:w="709"/>
        <w:gridCol w:w="661"/>
        <w:gridCol w:w="1182"/>
        <w:gridCol w:w="1530"/>
        <w:gridCol w:w="2410"/>
        <w:gridCol w:w="29"/>
        <w:tblGridChange w:id="0">
          <w:tblGrid>
            <w:gridCol w:w="1333"/>
            <w:gridCol w:w="193"/>
            <w:gridCol w:w="2438"/>
            <w:gridCol w:w="709"/>
            <w:gridCol w:w="661"/>
            <w:gridCol w:w="1182"/>
            <w:gridCol w:w="1530"/>
            <w:gridCol w:w="2410"/>
            <w:gridCol w:w="29"/>
          </w:tblGrid>
        </w:tblGridChange>
      </w:tblGrid>
      <w:tr>
        <w:trPr>
          <w:trHeight w:val="317" w:hRule="atLeast"/>
        </w:trPr>
        <w:tc>
          <w:tcPr>
            <w:shd w:fill="bfbfbf" w:val="clear"/>
          </w:tcPr>
          <w:p w:rsidR="00000000" w:rsidDel="00000000" w:rsidP="00000000" w:rsidRDefault="00000000" w:rsidRPr="00000000" w14:paraId="00000002">
            <w:pPr>
              <w:rPr>
                <w:b w:val="1"/>
              </w:rPr>
            </w:pPr>
            <w:r w:rsidDel="00000000" w:rsidR="00000000" w:rsidRPr="00000000">
              <w:rPr>
                <w:b w:val="1"/>
                <w:rtl w:val="0"/>
              </w:rPr>
              <w:t xml:space="preserve">Unit</w:t>
            </w:r>
          </w:p>
          <w:p w:rsidR="00000000" w:rsidDel="00000000" w:rsidP="00000000" w:rsidRDefault="00000000" w:rsidRPr="00000000" w14:paraId="00000003">
            <w:pPr>
              <w:rPr/>
            </w:pPr>
            <w:r w:rsidDel="00000000" w:rsidR="00000000" w:rsidRPr="00000000">
              <w:rPr>
                <w:rtl w:val="0"/>
              </w:rPr>
            </w:r>
          </w:p>
        </w:tc>
        <w:tc>
          <w:tcPr>
            <w:gridSpan w:val="3"/>
          </w:tcPr>
          <w:p w:rsidR="00000000" w:rsidDel="00000000" w:rsidP="00000000" w:rsidRDefault="00000000" w:rsidRPr="00000000" w14:paraId="00000004">
            <w:pPr>
              <w:rPr/>
            </w:pPr>
            <w:r w:rsidDel="00000000" w:rsidR="00000000" w:rsidRPr="00000000">
              <w:rPr>
                <w:rtl w:val="0"/>
              </w:rPr>
              <w:t xml:space="preserve">COVID-19 Unit: Lesson 2</w:t>
            </w:r>
          </w:p>
        </w:tc>
        <w:tc>
          <w:tcPr>
            <w:gridSpan w:val="2"/>
            <w:shd w:fill="bfbfbf" w:val="clear"/>
          </w:tcPr>
          <w:p w:rsidR="00000000" w:rsidDel="00000000" w:rsidP="00000000" w:rsidRDefault="00000000" w:rsidRPr="00000000" w14:paraId="00000007">
            <w:pPr>
              <w:rPr>
                <w:b w:val="1"/>
              </w:rPr>
            </w:pPr>
            <w:r w:rsidDel="00000000" w:rsidR="00000000" w:rsidRPr="00000000">
              <w:rPr>
                <w:b w:val="1"/>
                <w:rtl w:val="0"/>
              </w:rPr>
              <w:t xml:space="preserve">Driving Question</w:t>
            </w:r>
          </w:p>
        </w:tc>
        <w:tc>
          <w:tcPr>
            <w:gridSpan w:val="2"/>
          </w:tcPr>
          <w:p w:rsidR="00000000" w:rsidDel="00000000" w:rsidP="00000000" w:rsidRDefault="00000000" w:rsidRPr="00000000" w14:paraId="00000009">
            <w:pPr>
              <w:spacing w:after="200" w:line="276"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“How do I become ‘immune’ to a virus?”</w:t>
            </w:r>
          </w:p>
        </w:tc>
      </w:tr>
      <w:tr>
        <w:tc>
          <w:tcPr>
            <w:shd w:fill="bfbfbf" w:val="clear"/>
          </w:tcPr>
          <w:p w:rsidR="00000000" w:rsidDel="00000000" w:rsidP="00000000" w:rsidRDefault="00000000" w:rsidRPr="00000000" w14:paraId="0000000B">
            <w:pPr>
              <w:rPr>
                <w:b w:val="1"/>
              </w:rPr>
            </w:pPr>
            <w:r w:rsidDel="00000000" w:rsidR="00000000" w:rsidRPr="00000000">
              <w:rPr>
                <w:b w:val="1"/>
                <w:rtl w:val="0"/>
              </w:rPr>
              <w:t xml:space="preserve">Date</w:t>
            </w:r>
          </w:p>
        </w:tc>
        <w:tc>
          <w:tcPr>
            <w:gridSpan w:val="2"/>
          </w:tcPr>
          <w:p w:rsidR="00000000" w:rsidDel="00000000" w:rsidP="00000000" w:rsidRDefault="00000000" w:rsidRPr="00000000" w14:paraId="0000000C">
            <w:pPr>
              <w:rPr/>
            </w:pPr>
            <w:r w:rsidDel="00000000" w:rsidR="00000000" w:rsidRPr="00000000">
              <w:rPr>
                <w:rtl w:val="0"/>
              </w:rPr>
            </w:r>
          </w:p>
        </w:tc>
        <w:tc>
          <w:tcPr>
            <w:shd w:fill="bfbfbf" w:val="clear"/>
          </w:tcPr>
          <w:p w:rsidR="00000000" w:rsidDel="00000000" w:rsidP="00000000" w:rsidRDefault="00000000" w:rsidRPr="00000000" w14:paraId="0000000E">
            <w:pPr>
              <w:rPr>
                <w:b w:val="1"/>
              </w:rPr>
            </w:pPr>
            <w:r w:rsidDel="00000000" w:rsidR="00000000" w:rsidRPr="00000000">
              <w:rPr>
                <w:b w:val="1"/>
                <w:rtl w:val="0"/>
              </w:rPr>
              <w:t xml:space="preserve">Time</w:t>
            </w:r>
          </w:p>
        </w:tc>
        <w:tc>
          <w:tcPr/>
          <w:p w:rsidR="00000000" w:rsidDel="00000000" w:rsidP="00000000" w:rsidRDefault="00000000" w:rsidRPr="00000000" w14:paraId="0000000F">
            <w:pPr>
              <w:rPr/>
            </w:pPr>
            <w:r w:rsidDel="00000000" w:rsidR="00000000" w:rsidRPr="00000000">
              <w:rPr>
                <w:rtl w:val="0"/>
              </w:rPr>
            </w:r>
          </w:p>
        </w:tc>
        <w:tc>
          <w:tcPr>
            <w:shd w:fill="bfbfbf" w:val="clear"/>
          </w:tcPr>
          <w:p w:rsidR="00000000" w:rsidDel="00000000" w:rsidP="00000000" w:rsidRDefault="00000000" w:rsidRPr="00000000" w14:paraId="00000010">
            <w:pPr>
              <w:rPr>
                <w:b w:val="1"/>
              </w:rPr>
            </w:pPr>
            <w:r w:rsidDel="00000000" w:rsidR="00000000" w:rsidRPr="00000000">
              <w:rPr>
                <w:b w:val="1"/>
                <w:rtl w:val="0"/>
              </w:rPr>
              <w:t xml:space="preserve">Class</w:t>
            </w:r>
          </w:p>
        </w:tc>
        <w:tc>
          <w:tcPr>
            <w:gridSpan w:val="3"/>
          </w:tcPr>
          <w:p w:rsidR="00000000" w:rsidDel="00000000" w:rsidP="00000000" w:rsidRDefault="00000000" w:rsidRPr="00000000" w14:paraId="00000011">
            <w:pPr>
              <w:rPr/>
            </w:pPr>
            <w:r w:rsidDel="00000000" w:rsidR="00000000" w:rsidRPr="00000000">
              <w:rPr>
                <w:rtl w:val="0"/>
              </w:rPr>
            </w:r>
          </w:p>
        </w:tc>
      </w:tr>
      <w:tr>
        <w:tc>
          <w:tcPr>
            <w:gridSpan w:val="8"/>
            <w:shd w:fill="bfbfbf" w:val="clear"/>
          </w:tcPr>
          <w:p w:rsidR="00000000" w:rsidDel="00000000" w:rsidP="00000000" w:rsidRDefault="00000000" w:rsidRPr="00000000" w14:paraId="00000014">
            <w:pPr>
              <w:rPr>
                <w:b w:val="1"/>
              </w:rPr>
            </w:pPr>
            <w:r w:rsidDel="00000000" w:rsidR="00000000" w:rsidRPr="00000000">
              <w:rPr>
                <w:b w:val="1"/>
                <w:rtl w:val="0"/>
              </w:rPr>
              <w:t xml:space="preserve">Real life scenario (context)</w:t>
            </w:r>
          </w:p>
        </w:tc>
      </w:tr>
      <w:tr>
        <w:tc>
          <w:tcPr>
            <w:gridSpan w:val="8"/>
            <w:shd w:fill="auto" w:val="clear"/>
          </w:tcPr>
          <w:p w:rsidR="00000000" w:rsidDel="00000000" w:rsidP="00000000" w:rsidRDefault="00000000" w:rsidRPr="00000000" w14:paraId="0000001C">
            <w:pPr>
              <w:rPr>
                <w:b w:val="1"/>
              </w:rPr>
            </w:pPr>
            <w:r w:rsidDel="00000000" w:rsidR="00000000" w:rsidRPr="00000000">
              <w:rPr>
                <w:rtl w:val="0"/>
              </w:rPr>
              <w:t xml:space="preserve">Winter is approaching and Tiffany and her mom are with her grandma. Tiffany’s mom is worried about getting the flu and suggests that grandma gets the flu vaccine. She explains to Tiffany that this will help prevent grandma getting seriously ill from the flu. Tiffany then asks whether she needs to take this vaccine too….</w:t>
            </w:r>
            <w:r w:rsidDel="00000000" w:rsidR="00000000" w:rsidRPr="00000000">
              <w:rPr>
                <w:rtl w:val="0"/>
              </w:rPr>
            </w:r>
          </w:p>
        </w:tc>
      </w:tr>
      <w:tr>
        <w:tc>
          <w:tcPr>
            <w:gridSpan w:val="8"/>
            <w:shd w:fill="bfbfbf" w:val="clear"/>
          </w:tcPr>
          <w:p w:rsidR="00000000" w:rsidDel="00000000" w:rsidP="00000000" w:rsidRDefault="00000000" w:rsidRPr="00000000" w14:paraId="00000024">
            <w:pPr>
              <w:rPr>
                <w:b w:val="1"/>
              </w:rPr>
            </w:pPr>
            <w:r w:rsidDel="00000000" w:rsidR="00000000" w:rsidRPr="00000000">
              <w:rPr>
                <w:b w:val="1"/>
                <w:rtl w:val="0"/>
              </w:rPr>
              <w:t xml:space="preserve">Learning Outcomes</w:t>
            </w:r>
          </w:p>
        </w:tc>
      </w:tr>
      <w:tr>
        <w:tc>
          <w:tcPr>
            <w:gridSpan w:val="8"/>
          </w:tcPr>
          <w:p w:rsidR="00000000" w:rsidDel="00000000" w:rsidP="00000000" w:rsidRDefault="00000000" w:rsidRPr="00000000" w14:paraId="0000002C">
            <w:pPr>
              <w:rPr/>
            </w:pPr>
            <w:r w:rsidDel="00000000" w:rsidR="00000000" w:rsidRPr="00000000">
              <w:rPr>
                <w:rtl w:val="0"/>
              </w:rPr>
              <w:t xml:space="preserve">1. Understand the defences the body has against pathogens</w:t>
            </w:r>
          </w:p>
          <w:p w:rsidR="00000000" w:rsidDel="00000000" w:rsidP="00000000" w:rsidRDefault="00000000" w:rsidRPr="00000000" w14:paraId="0000002D">
            <w:pPr>
              <w:rPr/>
            </w:pPr>
            <w:r w:rsidDel="00000000" w:rsidR="00000000" w:rsidRPr="00000000">
              <w:rPr>
                <w:rtl w:val="0"/>
              </w:rPr>
              <w:t xml:space="preserve">2. Describe the different roles that phagocytes and lymphocytes and play in our immunity system</w:t>
            </w:r>
          </w:p>
        </w:tc>
      </w:tr>
      <w:tr>
        <w:tc>
          <w:tcPr>
            <w:gridSpan w:val="8"/>
            <w:shd w:fill="bfbfbf" w:val="clear"/>
          </w:tcPr>
          <w:p w:rsidR="00000000" w:rsidDel="00000000" w:rsidP="00000000" w:rsidRDefault="00000000" w:rsidRPr="00000000" w14:paraId="00000035">
            <w:pPr>
              <w:rPr/>
            </w:pPr>
            <w:r w:rsidDel="00000000" w:rsidR="00000000" w:rsidRPr="00000000">
              <w:rPr>
                <w:b w:val="1"/>
                <w:rtl w:val="0"/>
              </w:rPr>
              <w:t xml:space="preserve">NGSS links / NYAS STEM Education Framework (key skills and competencies developed)</w:t>
            </w:r>
            <w:r w:rsidDel="00000000" w:rsidR="00000000" w:rsidRPr="00000000">
              <w:rPr>
                <w:rtl w:val="0"/>
              </w:rPr>
            </w:r>
          </w:p>
        </w:tc>
      </w:tr>
      <w:tr>
        <w:tc>
          <w:tcPr>
            <w:gridSpan w:val="8"/>
          </w:tcPr>
          <w:p w:rsidR="00000000" w:rsidDel="00000000" w:rsidP="00000000" w:rsidRDefault="00000000" w:rsidRPr="00000000" w14:paraId="0000003D">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B.2 STEM Content Integration </w:t>
            </w:r>
          </w:p>
          <w:p w:rsidR="00000000" w:rsidDel="00000000" w:rsidP="00000000" w:rsidRDefault="00000000" w:rsidRPr="00000000" w14:paraId="0000003E">
            <w:pPr>
              <w:rPr>
                <w:rFonts w:ascii="Arial" w:cs="Arial" w:eastAsia="Arial" w:hAnsi="Arial"/>
                <w:color w:val="000000"/>
                <w:sz w:val="20"/>
                <w:szCs w:val="20"/>
              </w:rPr>
            </w:pPr>
            <w:r w:rsidDel="00000000" w:rsidR="00000000" w:rsidRPr="00000000">
              <w:rPr>
                <w:rtl w:val="0"/>
              </w:rPr>
            </w:r>
          </w:p>
        </w:tc>
      </w:tr>
      <w:tr>
        <w:tc>
          <w:tcPr>
            <w:gridSpan w:val="8"/>
            <w:shd w:fill="bfbfbf" w:val="clear"/>
          </w:tcPr>
          <w:p w:rsidR="00000000" w:rsidDel="00000000" w:rsidP="00000000" w:rsidRDefault="00000000" w:rsidRPr="00000000" w14:paraId="00000046">
            <w:pPr>
              <w:rPr>
                <w:b w:val="1"/>
              </w:rPr>
            </w:pPr>
            <w:r w:rsidDel="00000000" w:rsidR="00000000" w:rsidRPr="00000000">
              <w:rPr>
                <w:b w:val="1"/>
                <w:rtl w:val="0"/>
              </w:rPr>
              <w:t xml:space="preserve">Plan of activities</w:t>
            </w:r>
          </w:p>
        </w:tc>
      </w:tr>
      <w:tr>
        <w:tc>
          <w:tcPr>
            <w:gridSpan w:val="2"/>
            <w:shd w:fill="bfbfbf" w:val="clear"/>
          </w:tcPr>
          <w:p w:rsidR="00000000" w:rsidDel="00000000" w:rsidP="00000000" w:rsidRDefault="00000000" w:rsidRPr="00000000" w14:paraId="0000004E">
            <w:pPr>
              <w:rPr/>
            </w:pPr>
            <w:r w:rsidDel="00000000" w:rsidR="00000000" w:rsidRPr="00000000">
              <w:rPr>
                <w:rtl w:val="0"/>
              </w:rPr>
              <w:t xml:space="preserve">Time</w:t>
            </w:r>
          </w:p>
        </w:tc>
        <w:tc>
          <w:tcPr>
            <w:gridSpan w:val="2"/>
            <w:shd w:fill="bfbfbf" w:val="clear"/>
          </w:tcPr>
          <w:p w:rsidR="00000000" w:rsidDel="00000000" w:rsidP="00000000" w:rsidRDefault="00000000" w:rsidRPr="00000000" w14:paraId="00000050">
            <w:pPr>
              <w:rPr/>
            </w:pPr>
            <w:r w:rsidDel="00000000" w:rsidR="00000000" w:rsidRPr="00000000">
              <w:rPr>
                <w:rtl w:val="0"/>
              </w:rPr>
              <w:t xml:space="preserve">Teacher Activity</w:t>
            </w:r>
          </w:p>
        </w:tc>
        <w:tc>
          <w:tcPr>
            <w:gridSpan w:val="3"/>
            <w:shd w:fill="bfbfbf" w:val="clear"/>
          </w:tcPr>
          <w:p w:rsidR="00000000" w:rsidDel="00000000" w:rsidP="00000000" w:rsidRDefault="00000000" w:rsidRPr="00000000" w14:paraId="00000052">
            <w:pPr>
              <w:rPr/>
            </w:pPr>
            <w:r w:rsidDel="00000000" w:rsidR="00000000" w:rsidRPr="00000000">
              <w:rPr>
                <w:rtl w:val="0"/>
              </w:rPr>
              <w:t xml:space="preserve">Learner activity </w:t>
            </w:r>
          </w:p>
        </w:tc>
        <w:tc>
          <w:tcPr>
            <w:shd w:fill="bfbfbf" w:val="clear"/>
          </w:tcPr>
          <w:p w:rsidR="00000000" w:rsidDel="00000000" w:rsidP="00000000" w:rsidRDefault="00000000" w:rsidRPr="00000000" w14:paraId="00000055">
            <w:pPr>
              <w:rPr/>
            </w:pPr>
            <w:r w:rsidDel="00000000" w:rsidR="00000000" w:rsidRPr="00000000">
              <w:rPr>
                <w:rtl w:val="0"/>
              </w:rPr>
              <w:t xml:space="preserve">Resources / other info</w:t>
            </w:r>
          </w:p>
        </w:tc>
      </w:tr>
      <w:tr>
        <w:trPr>
          <w:trHeight w:val="897" w:hRule="atLeast"/>
        </w:trPr>
        <w:tc>
          <w:tcPr>
            <w:gridSpan w:val="2"/>
            <w:shd w:fill="daeef3" w:val="clear"/>
          </w:tcPr>
          <w:p w:rsidR="00000000" w:rsidDel="00000000" w:rsidP="00000000" w:rsidRDefault="00000000" w:rsidRPr="00000000" w14:paraId="00000056">
            <w:pPr>
              <w:rPr>
                <w:i w:val="1"/>
              </w:rPr>
            </w:pPr>
            <w:r w:rsidDel="00000000" w:rsidR="00000000" w:rsidRPr="00000000">
              <w:rPr>
                <w:i w:val="1"/>
                <w:rtl w:val="0"/>
              </w:rPr>
              <w:t xml:space="preserve">Prior to session: -</w:t>
            </w:r>
          </w:p>
          <w:p w:rsidR="00000000" w:rsidDel="00000000" w:rsidP="00000000" w:rsidRDefault="00000000" w:rsidRPr="00000000" w14:paraId="00000057">
            <w:pPr>
              <w:rPr>
                <w:i w:val="1"/>
              </w:rPr>
            </w:pPr>
            <w:r w:rsidDel="00000000" w:rsidR="00000000" w:rsidRPr="00000000">
              <w:rPr>
                <w:rtl w:val="0"/>
              </w:rPr>
            </w:r>
          </w:p>
        </w:tc>
        <w:tc>
          <w:tcPr>
            <w:gridSpan w:val="2"/>
            <w:shd w:fill="daeef3" w:val="clear"/>
          </w:tcPr>
          <w:p w:rsidR="00000000" w:rsidDel="00000000" w:rsidP="00000000" w:rsidRDefault="00000000" w:rsidRPr="00000000" w14:paraId="00000059">
            <w:pPr>
              <w:rPr>
                <w:i w:val="1"/>
              </w:rPr>
            </w:pPr>
            <w:r w:rsidDel="00000000" w:rsidR="00000000" w:rsidRPr="00000000">
              <w:rPr>
                <w:i w:val="1"/>
                <w:rtl w:val="0"/>
              </w:rPr>
              <w:t xml:space="preserve">Are there spare activities for those who finish early?</w:t>
            </w:r>
          </w:p>
        </w:tc>
        <w:tc>
          <w:tcPr>
            <w:gridSpan w:val="3"/>
            <w:shd w:fill="daeef3" w:val="clear"/>
          </w:tcPr>
          <w:p w:rsidR="00000000" w:rsidDel="00000000" w:rsidP="00000000" w:rsidRDefault="00000000" w:rsidRPr="00000000" w14:paraId="0000005B">
            <w:pPr>
              <w:rPr>
                <w:i w:val="1"/>
              </w:rPr>
            </w:pPr>
            <w:r w:rsidDel="00000000" w:rsidR="00000000" w:rsidRPr="00000000">
              <w:rPr>
                <w:i w:val="1"/>
                <w:rtl w:val="0"/>
              </w:rPr>
              <w:t xml:space="preserve">Can this be done remotely and in person? Are there alternative approaches?</w:t>
            </w:r>
          </w:p>
          <w:p w:rsidR="00000000" w:rsidDel="00000000" w:rsidP="00000000" w:rsidRDefault="00000000" w:rsidRPr="00000000" w14:paraId="0000005C">
            <w:pPr>
              <w:rPr>
                <w:i w:val="1"/>
              </w:rPr>
            </w:pPr>
            <w:r w:rsidDel="00000000" w:rsidR="00000000" w:rsidRPr="00000000">
              <w:rPr>
                <w:i w:val="1"/>
                <w:rtl w:val="0"/>
              </w:rPr>
              <w:t xml:space="preserve">Differentiation?</w:t>
            </w:r>
          </w:p>
        </w:tc>
        <w:tc>
          <w:tcPr>
            <w:shd w:fill="daeef3" w:val="clear"/>
          </w:tcPr>
          <w:p w:rsidR="00000000" w:rsidDel="00000000" w:rsidP="00000000" w:rsidRDefault="00000000" w:rsidRPr="00000000" w14:paraId="0000005F">
            <w:pPr>
              <w:rPr>
                <w:i w:val="1"/>
              </w:rPr>
            </w:pPr>
            <w:r w:rsidDel="00000000" w:rsidR="00000000" w:rsidRPr="00000000">
              <w:rPr>
                <w:i w:val="1"/>
                <w:rtl w:val="0"/>
              </w:rPr>
              <w:t xml:space="preserve">What resources are needed to be inclusive to all students?</w:t>
            </w:r>
          </w:p>
        </w:tc>
      </w:tr>
      <w:tr>
        <w:tc>
          <w:tcPr>
            <w:gridSpan w:val="2"/>
          </w:tcPr>
          <w:p w:rsidR="00000000" w:rsidDel="00000000" w:rsidP="00000000" w:rsidRDefault="00000000" w:rsidRPr="00000000" w14:paraId="00000060">
            <w:pPr>
              <w:rPr>
                <w:b w:val="1"/>
              </w:rPr>
            </w:pPr>
            <w:r w:rsidDel="00000000" w:rsidR="00000000" w:rsidRPr="00000000">
              <w:rPr>
                <w:b w:val="1"/>
                <w:rtl w:val="0"/>
              </w:rPr>
              <w:t xml:space="preserve">5 mins</w:t>
            </w:r>
          </w:p>
          <w:p w:rsidR="00000000" w:rsidDel="00000000" w:rsidP="00000000" w:rsidRDefault="00000000" w:rsidRPr="00000000" w14:paraId="00000061">
            <w:pPr>
              <w:rPr>
                <w:sz w:val="18"/>
                <w:szCs w:val="18"/>
              </w:rPr>
            </w:pPr>
            <w:r w:rsidDel="00000000" w:rsidR="00000000" w:rsidRPr="00000000">
              <w:rPr>
                <w:rtl w:val="0"/>
              </w:rPr>
            </w:r>
          </w:p>
          <w:p w:rsidR="00000000" w:rsidDel="00000000" w:rsidP="00000000" w:rsidRDefault="00000000" w:rsidRPr="00000000" w14:paraId="00000062">
            <w:pPr>
              <w:rPr>
                <w:sz w:val="18"/>
                <w:szCs w:val="18"/>
              </w:rPr>
            </w:pPr>
            <w:r w:rsidDel="00000000" w:rsidR="00000000" w:rsidRPr="00000000">
              <w:rPr>
                <w:sz w:val="18"/>
                <w:szCs w:val="18"/>
                <w:rtl w:val="0"/>
              </w:rPr>
              <w:t xml:space="preserve">Welcome and introduction</w:t>
            </w:r>
          </w:p>
        </w:tc>
        <w:tc>
          <w:tcPr>
            <w:gridSpan w:val="2"/>
          </w:tcPr>
          <w:p w:rsidR="00000000" w:rsidDel="00000000" w:rsidP="00000000" w:rsidRDefault="00000000" w:rsidRPr="00000000" w14:paraId="00000064">
            <w:pPr>
              <w:rPr/>
            </w:pPr>
            <w:r w:rsidDel="00000000" w:rsidR="00000000" w:rsidRPr="00000000">
              <w:rPr>
                <w:rtl w:val="0"/>
              </w:rPr>
              <w:t xml:space="preserve">Introduce the COVID-19 unit and this lesson’s LOs. Establish norms for discussing COVID-19.</w:t>
            </w:r>
          </w:p>
          <w:p w:rsidR="00000000" w:rsidDel="00000000" w:rsidP="00000000" w:rsidRDefault="00000000" w:rsidRPr="00000000" w14:paraId="00000065">
            <w:pPr>
              <w:rPr/>
            </w:pPr>
            <w:r w:rsidDel="00000000" w:rsidR="00000000" w:rsidRPr="00000000">
              <w:rPr>
                <w:rtl w:val="0"/>
              </w:rPr>
            </w:r>
          </w:p>
        </w:tc>
        <w:tc>
          <w:tcPr>
            <w:gridSpan w:val="3"/>
          </w:tcPr>
          <w:p w:rsidR="00000000" w:rsidDel="00000000" w:rsidP="00000000" w:rsidRDefault="00000000" w:rsidRPr="00000000" w14:paraId="00000067">
            <w:pPr>
              <w:rPr/>
            </w:pPr>
            <w:r w:rsidDel="00000000" w:rsidR="00000000" w:rsidRPr="00000000">
              <w:rPr>
                <w:rtl w:val="0"/>
              </w:rPr>
              <w:t xml:space="preserve">Read the real-life scenario to ‘set the scene’.</w:t>
            </w:r>
          </w:p>
        </w:tc>
        <w:tc>
          <w:tcPr/>
          <w:p w:rsidR="00000000" w:rsidDel="00000000" w:rsidP="00000000" w:rsidRDefault="00000000" w:rsidRPr="00000000" w14:paraId="0000006A">
            <w:pPr>
              <w:rPr/>
            </w:pPr>
            <w:r w:rsidDel="00000000" w:rsidR="00000000" w:rsidRPr="00000000">
              <w:rPr>
                <w:rtl w:val="0"/>
              </w:rPr>
              <w:t xml:space="preserve">PPT Slide deck.</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Teacher can replace the names of the mock ‘students’ in the scenario.</w:t>
            </w:r>
          </w:p>
        </w:tc>
      </w:tr>
      <w:tr>
        <w:tc>
          <w:tcPr>
            <w:gridSpan w:val="2"/>
          </w:tcPr>
          <w:p w:rsidR="00000000" w:rsidDel="00000000" w:rsidP="00000000" w:rsidRDefault="00000000" w:rsidRPr="00000000" w14:paraId="0000006D">
            <w:pPr>
              <w:rPr>
                <w:b w:val="1"/>
              </w:rPr>
            </w:pPr>
            <w:r w:rsidDel="00000000" w:rsidR="00000000" w:rsidRPr="00000000">
              <w:rPr>
                <w:b w:val="1"/>
                <w:rtl w:val="0"/>
              </w:rPr>
              <w:t xml:space="preserve">10 mins</w:t>
            </w:r>
          </w:p>
          <w:p w:rsidR="00000000" w:rsidDel="00000000" w:rsidP="00000000" w:rsidRDefault="00000000" w:rsidRPr="00000000" w14:paraId="0000006E">
            <w:pPr>
              <w:rPr>
                <w:b w:val="1"/>
              </w:rPr>
            </w:pPr>
            <w:r w:rsidDel="00000000" w:rsidR="00000000" w:rsidRPr="00000000">
              <w:rPr>
                <w:rtl w:val="0"/>
              </w:rPr>
            </w:r>
          </w:p>
          <w:p w:rsidR="00000000" w:rsidDel="00000000" w:rsidP="00000000" w:rsidRDefault="00000000" w:rsidRPr="00000000" w14:paraId="0000006F">
            <w:pPr>
              <w:rPr>
                <w:sz w:val="18"/>
                <w:szCs w:val="18"/>
              </w:rPr>
            </w:pPr>
            <w:r w:rsidDel="00000000" w:rsidR="00000000" w:rsidRPr="00000000">
              <w:rPr>
                <w:sz w:val="18"/>
                <w:szCs w:val="18"/>
                <w:rtl w:val="0"/>
              </w:rPr>
              <w:t xml:space="preserve">Quick fire questions on pathogens.</w:t>
            </w:r>
          </w:p>
          <w:p w:rsidR="00000000" w:rsidDel="00000000" w:rsidP="00000000" w:rsidRDefault="00000000" w:rsidRPr="00000000" w14:paraId="00000070">
            <w:pPr>
              <w:rPr/>
            </w:pPr>
            <w:r w:rsidDel="00000000" w:rsidR="00000000" w:rsidRPr="00000000">
              <w:rPr>
                <w:rtl w:val="0"/>
              </w:rPr>
            </w:r>
          </w:p>
        </w:tc>
        <w:tc>
          <w:tcPr>
            <w:gridSpan w:val="2"/>
          </w:tcPr>
          <w:p w:rsidR="00000000" w:rsidDel="00000000" w:rsidP="00000000" w:rsidRDefault="00000000" w:rsidRPr="00000000" w14:paraId="00000072">
            <w:pPr>
              <w:rPr/>
            </w:pPr>
            <w:r w:rsidDel="00000000" w:rsidR="00000000" w:rsidRPr="00000000">
              <w:rPr>
                <w:rtl w:val="0"/>
              </w:rPr>
              <w:t xml:space="preserve">Introduce what pathogens are using examples of flu and COVID-19 as viruses.</w:t>
            </w:r>
          </w:p>
        </w:tc>
        <w:tc>
          <w:tcPr>
            <w:gridSpan w:val="3"/>
          </w:tcPr>
          <w:p w:rsidR="00000000" w:rsidDel="00000000" w:rsidP="00000000" w:rsidRDefault="00000000" w:rsidRPr="00000000" w14:paraId="00000074">
            <w:pPr>
              <w:rPr/>
            </w:pPr>
            <w:r w:rsidDel="00000000" w:rsidR="00000000" w:rsidRPr="00000000">
              <w:rPr>
                <w:rtl w:val="0"/>
              </w:rPr>
              <w:t xml:space="preserve">Students complete the quick-fire questions on paper or (if virtual) in breakout groups with pupils peer marking.</w:t>
            </w:r>
          </w:p>
        </w:tc>
        <w:tc>
          <w:tcPr/>
          <w:p w:rsidR="00000000" w:rsidDel="00000000" w:rsidP="00000000" w:rsidRDefault="00000000" w:rsidRPr="00000000" w14:paraId="00000077">
            <w:pPr>
              <w:rPr/>
            </w:pPr>
            <w:r w:rsidDel="00000000" w:rsidR="00000000" w:rsidRPr="00000000">
              <w:rPr>
                <w:rtl w:val="0"/>
              </w:rPr>
            </w:r>
          </w:p>
        </w:tc>
      </w:tr>
      <w:tr>
        <w:tc>
          <w:tcPr>
            <w:gridSpan w:val="2"/>
          </w:tcPr>
          <w:p w:rsidR="00000000" w:rsidDel="00000000" w:rsidP="00000000" w:rsidRDefault="00000000" w:rsidRPr="00000000" w14:paraId="00000078">
            <w:pPr>
              <w:rPr>
                <w:b w:val="1"/>
              </w:rPr>
            </w:pPr>
            <w:r w:rsidDel="00000000" w:rsidR="00000000" w:rsidRPr="00000000">
              <w:rPr>
                <w:b w:val="1"/>
                <w:rtl w:val="0"/>
              </w:rPr>
              <w:t xml:space="preserve">10 mins</w:t>
            </w:r>
          </w:p>
          <w:p w:rsidR="00000000" w:rsidDel="00000000" w:rsidP="00000000" w:rsidRDefault="00000000" w:rsidRPr="00000000" w14:paraId="00000079">
            <w:pPr>
              <w:rPr>
                <w:sz w:val="18"/>
                <w:szCs w:val="18"/>
              </w:rPr>
            </w:pPr>
            <w:r w:rsidDel="00000000" w:rsidR="00000000" w:rsidRPr="00000000">
              <w:rPr>
                <w:rtl w:val="0"/>
              </w:rPr>
            </w:r>
          </w:p>
          <w:p w:rsidR="00000000" w:rsidDel="00000000" w:rsidP="00000000" w:rsidRDefault="00000000" w:rsidRPr="00000000" w14:paraId="0000007A">
            <w:pPr>
              <w:rPr>
                <w:sz w:val="18"/>
                <w:szCs w:val="18"/>
              </w:rPr>
            </w:pPr>
            <w:r w:rsidDel="00000000" w:rsidR="00000000" w:rsidRPr="00000000">
              <w:rPr>
                <w:sz w:val="18"/>
                <w:szCs w:val="18"/>
                <w:rtl w:val="0"/>
              </w:rPr>
              <w:t xml:space="preserve">Annotate diagram of body</w:t>
            </w:r>
          </w:p>
        </w:tc>
        <w:tc>
          <w:tcPr>
            <w:gridSpan w:val="2"/>
          </w:tcPr>
          <w:p w:rsidR="00000000" w:rsidDel="00000000" w:rsidP="00000000" w:rsidRDefault="00000000" w:rsidRPr="00000000" w14:paraId="0000007C">
            <w:pPr>
              <w:rPr>
                <w:i w:val="1"/>
              </w:rPr>
            </w:pPr>
            <w:r w:rsidDel="00000000" w:rsidR="00000000" w:rsidRPr="00000000">
              <w:rPr>
                <w:rtl w:val="0"/>
              </w:rPr>
              <w:t xml:space="preserve">Describe the physical and chemical barriers against pathogens.</w:t>
            </w:r>
            <w:r w:rsidDel="00000000" w:rsidR="00000000" w:rsidRPr="00000000">
              <w:rPr>
                <w:rtl w:val="0"/>
              </w:rPr>
            </w:r>
          </w:p>
          <w:p w:rsidR="00000000" w:rsidDel="00000000" w:rsidP="00000000" w:rsidRDefault="00000000" w:rsidRPr="00000000" w14:paraId="0000007D">
            <w:pPr>
              <w:rPr>
                <w:i w:val="1"/>
              </w:rPr>
            </w:pPr>
            <w:r w:rsidDel="00000000" w:rsidR="00000000" w:rsidRPr="00000000">
              <w:rPr>
                <w:rtl w:val="0"/>
              </w:rPr>
            </w:r>
          </w:p>
          <w:p w:rsidR="00000000" w:rsidDel="00000000" w:rsidP="00000000" w:rsidRDefault="00000000" w:rsidRPr="00000000" w14:paraId="0000007E">
            <w:pPr>
              <w:rPr>
                <w:i w:val="1"/>
              </w:rPr>
            </w:pPr>
            <w:r w:rsidDel="00000000" w:rsidR="00000000" w:rsidRPr="00000000">
              <w:rPr>
                <w:rtl w:val="0"/>
              </w:rPr>
            </w:r>
          </w:p>
        </w:tc>
        <w:tc>
          <w:tcPr>
            <w:gridSpan w:val="3"/>
          </w:tcPr>
          <w:p w:rsidR="00000000" w:rsidDel="00000000" w:rsidP="00000000" w:rsidRDefault="00000000" w:rsidRPr="00000000" w14:paraId="00000080">
            <w:pPr>
              <w:rPr/>
            </w:pPr>
            <w:r w:rsidDel="00000000" w:rsidR="00000000" w:rsidRPr="00000000">
              <w:rPr>
                <w:rtl w:val="0"/>
              </w:rPr>
              <w:t xml:space="preserve">Students guess and annotate (either on their own print out slide deck or onto the shared screen) OR volunteer answers which the teacher will then annotate onto the diagram.</w:t>
            </w:r>
          </w:p>
        </w:tc>
        <w:tc>
          <w:tcPr/>
          <w:p w:rsidR="00000000" w:rsidDel="00000000" w:rsidP="00000000" w:rsidRDefault="00000000" w:rsidRPr="00000000" w14:paraId="00000083">
            <w:pPr>
              <w:rPr/>
            </w:pPr>
            <w:r w:rsidDel="00000000" w:rsidR="00000000" w:rsidRPr="00000000">
              <w:rPr>
                <w:rtl w:val="0"/>
              </w:rPr>
              <w:t xml:space="preserve">Printouts of slide 5 may be needed (if doing it in person).</w:t>
            </w:r>
          </w:p>
        </w:tc>
      </w:tr>
      <w:tr>
        <w:tc>
          <w:tcPr>
            <w:gridSpan w:val="2"/>
          </w:tcPr>
          <w:p w:rsidR="00000000" w:rsidDel="00000000" w:rsidP="00000000" w:rsidRDefault="00000000" w:rsidRPr="00000000" w14:paraId="00000084">
            <w:pPr>
              <w:rPr>
                <w:b w:val="1"/>
              </w:rPr>
            </w:pPr>
            <w:r w:rsidDel="00000000" w:rsidR="00000000" w:rsidRPr="00000000">
              <w:rPr>
                <w:b w:val="1"/>
                <w:rtl w:val="0"/>
              </w:rPr>
              <w:t xml:space="preserve">25 mins</w:t>
            </w:r>
          </w:p>
          <w:p w:rsidR="00000000" w:rsidDel="00000000" w:rsidP="00000000" w:rsidRDefault="00000000" w:rsidRPr="00000000" w14:paraId="00000085">
            <w:pPr>
              <w:rPr>
                <w:sz w:val="18"/>
                <w:szCs w:val="18"/>
              </w:rPr>
            </w:pPr>
            <w:r w:rsidDel="00000000" w:rsidR="00000000" w:rsidRPr="00000000">
              <w:rPr>
                <w:rtl w:val="0"/>
              </w:rPr>
            </w:r>
          </w:p>
          <w:p w:rsidR="00000000" w:rsidDel="00000000" w:rsidP="00000000" w:rsidRDefault="00000000" w:rsidRPr="00000000" w14:paraId="00000086">
            <w:pPr>
              <w:rPr>
                <w:sz w:val="18"/>
                <w:szCs w:val="18"/>
              </w:rPr>
            </w:pPr>
            <w:r w:rsidDel="00000000" w:rsidR="00000000" w:rsidRPr="00000000">
              <w:rPr>
                <w:sz w:val="18"/>
                <w:szCs w:val="18"/>
                <w:rtl w:val="0"/>
              </w:rPr>
              <w:t xml:space="preserve">Role of phagocytes and lymphocytes and then a fill in the gap exercise to test understanding.</w:t>
            </w:r>
          </w:p>
        </w:tc>
        <w:tc>
          <w:tcPr>
            <w:gridSpan w:val="2"/>
          </w:tcPr>
          <w:p w:rsidR="00000000" w:rsidDel="00000000" w:rsidP="00000000" w:rsidRDefault="00000000" w:rsidRPr="00000000" w14:paraId="00000088">
            <w:pPr>
              <w:rPr/>
            </w:pPr>
            <w:r w:rsidDel="00000000" w:rsidR="00000000" w:rsidRPr="00000000">
              <w:rPr>
                <w:rtl w:val="0"/>
              </w:rPr>
              <w:t xml:space="preserve">Describe the difference between non-specific (or innate) immune response involving phagocytes and specific (or adaptative) immune response involving lymphocytes.</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NOTE: This is a big simplification of the immune response and does not introduce to the student the difference between the humoral and cell-mediated response (and the various and specific types of lymphocytes). For more advanced classes, teachers may wish to substitute this whole section for the booklet and drama activity (see resources column to the right).</w:t>
            </w:r>
          </w:p>
        </w:tc>
        <w:tc>
          <w:tcPr>
            <w:gridSpan w:val="3"/>
          </w:tcPr>
          <w:p w:rsidR="00000000" w:rsidDel="00000000" w:rsidP="00000000" w:rsidRDefault="00000000" w:rsidRPr="00000000" w14:paraId="0000008C">
            <w:pPr>
              <w:rPr/>
            </w:pPr>
            <w:r w:rsidDel="00000000" w:rsidR="00000000" w:rsidRPr="00000000">
              <w:rPr>
                <w:rtl w:val="0"/>
              </w:rPr>
              <w:t xml:space="preserve">Students read the passages/diagram and watch the videos before doing a key word check (students can peer-check understanding of key words in pairs or in breakout rooms). Students then complete the ‘fill in the gaps’ exercise and use their own words to complete definitions for all the key words. </w:t>
            </w:r>
          </w:p>
        </w:tc>
        <w:tc>
          <w:tcPr/>
          <w:p w:rsidR="00000000" w:rsidDel="00000000" w:rsidP="00000000" w:rsidRDefault="00000000" w:rsidRPr="00000000" w14:paraId="0000008F">
            <w:pPr>
              <w:rPr/>
            </w:pPr>
            <w:r w:rsidDel="00000000" w:rsidR="00000000" w:rsidRPr="00000000">
              <w:rPr>
                <w:rtl w:val="0"/>
              </w:rPr>
              <w:t xml:space="preserve">For a simplified overview of the immune system (enough to understand vaccines later on), use the PPT and the ‘fill in the gaps’ exercise as AFL.</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For more advanced classes, students may wish to use this booklet instead: </w:t>
            </w:r>
            <w:hyperlink r:id="rId7">
              <w:r w:rsidDel="00000000" w:rsidR="00000000" w:rsidRPr="00000000">
                <w:rPr>
                  <w:color w:val="0563c1"/>
                  <w:u w:val="single"/>
                  <w:rtl w:val="0"/>
                </w:rPr>
                <w:t xml:space="preserve">https://www.aai.org/AAISite/media/Education/HST/Archive/2003_Porter_Final.pdf</w:t>
              </w:r>
            </w:hyperlink>
            <w:r w:rsidDel="00000000" w:rsidR="00000000" w:rsidRPr="00000000">
              <w:rPr>
                <w:rtl w:val="0"/>
              </w:rPr>
              <w:t xml:space="preserve"> </w:t>
            </w:r>
          </w:p>
        </w:tc>
      </w:tr>
      <w:tr>
        <w:tc>
          <w:tcPr>
            <w:gridSpan w:val="2"/>
          </w:tcPr>
          <w:p w:rsidR="00000000" w:rsidDel="00000000" w:rsidP="00000000" w:rsidRDefault="00000000" w:rsidRPr="00000000" w14:paraId="00000092">
            <w:pPr>
              <w:rPr>
                <w:b w:val="1"/>
              </w:rPr>
            </w:pPr>
            <w:r w:rsidDel="00000000" w:rsidR="00000000" w:rsidRPr="00000000">
              <w:rPr>
                <w:rtl w:val="0"/>
              </w:rPr>
            </w:r>
          </w:p>
          <w:p w:rsidR="00000000" w:rsidDel="00000000" w:rsidP="00000000" w:rsidRDefault="00000000" w:rsidRPr="00000000" w14:paraId="00000093">
            <w:pPr>
              <w:rPr>
                <w:b w:val="1"/>
              </w:rPr>
            </w:pPr>
            <w:r w:rsidDel="00000000" w:rsidR="00000000" w:rsidRPr="00000000">
              <w:rPr>
                <w:b w:val="1"/>
                <w:rtl w:val="0"/>
              </w:rPr>
              <w:t xml:space="preserve">10 mins</w:t>
            </w:r>
          </w:p>
          <w:p w:rsidR="00000000" w:rsidDel="00000000" w:rsidP="00000000" w:rsidRDefault="00000000" w:rsidRPr="00000000" w14:paraId="00000094">
            <w:pPr>
              <w:rPr>
                <w:b w:val="1"/>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Plenary activity</w:t>
            </w:r>
          </w:p>
        </w:tc>
        <w:tc>
          <w:tcPr>
            <w:gridSpan w:val="2"/>
          </w:tcPr>
          <w:p w:rsidR="00000000" w:rsidDel="00000000" w:rsidP="00000000" w:rsidRDefault="00000000" w:rsidRPr="00000000" w14:paraId="00000097">
            <w:pPr>
              <w:rPr/>
            </w:pPr>
            <w:r w:rsidDel="00000000" w:rsidR="00000000" w:rsidRPr="00000000">
              <w:rPr>
                <w:rtl w:val="0"/>
              </w:rPr>
              <w:t xml:space="preserve">Ask students to use their knowledge gained today to return to the scenario and:</w:t>
            </w:r>
          </w:p>
          <w:p w:rsidR="00000000" w:rsidDel="00000000" w:rsidP="00000000" w:rsidRDefault="00000000" w:rsidRPr="00000000" w14:paraId="0000009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Think about what might be in a vaccine for Tiffany’s grandma to teach her body how to fight off a pathogen like the flu</w:t>
            </w:r>
          </w:p>
          <w:p w:rsidR="00000000" w:rsidDel="00000000" w:rsidP="00000000" w:rsidRDefault="00000000" w:rsidRPr="00000000" w14:paraId="0000009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Think about why Tiffany’s grandma might need the flu vaccine but Tiffany may not</w:t>
            </w:r>
          </w:p>
          <w:p w:rsidR="00000000" w:rsidDel="00000000" w:rsidP="00000000" w:rsidRDefault="00000000" w:rsidRPr="00000000" w14:paraId="0000009A">
            <w:pPr>
              <w:rPr/>
            </w:pPr>
            <w:r w:rsidDel="00000000" w:rsidR="00000000" w:rsidRPr="00000000">
              <w:rPr>
                <w:rtl w:val="0"/>
              </w:rPr>
            </w:r>
          </w:p>
        </w:tc>
        <w:tc>
          <w:tcPr>
            <w:gridSpan w:val="3"/>
          </w:tcPr>
          <w:p w:rsidR="00000000" w:rsidDel="00000000" w:rsidP="00000000" w:rsidRDefault="00000000" w:rsidRPr="00000000" w14:paraId="0000009C">
            <w:pPr>
              <w:rPr/>
            </w:pPr>
            <w:r w:rsidDel="00000000" w:rsidR="00000000" w:rsidRPr="00000000">
              <w:rPr>
                <w:rtl w:val="0"/>
              </w:rPr>
              <w:t xml:space="preserve">Students are encouraged to guess the answers to those questions posed by the teacher (in groups or the whole class) and encouraged to use keywords in their explanations.</w:t>
            </w:r>
          </w:p>
        </w:tc>
        <w:tc>
          <w:tcPr/>
          <w:p w:rsidR="00000000" w:rsidDel="00000000" w:rsidP="00000000" w:rsidRDefault="00000000" w:rsidRPr="00000000" w14:paraId="0000009F">
            <w:pPr>
              <w:rPr/>
            </w:pPr>
            <w:r w:rsidDel="00000000" w:rsidR="00000000" w:rsidRPr="00000000">
              <w:rPr>
                <w:rtl w:val="0"/>
              </w:rPr>
              <w:t xml:space="preserve">This can be done as an exit ticket (each individual student submitting an answer on paper or via email) if time is short or the teacher wishes to check for understanding and mis-understandings of each student.</w:t>
            </w:r>
          </w:p>
          <w:p w:rsidR="00000000" w:rsidDel="00000000" w:rsidP="00000000" w:rsidRDefault="00000000" w:rsidRPr="00000000" w14:paraId="000000A0">
            <w:pPr>
              <w:rPr/>
            </w:pPr>
            <w:r w:rsidDel="00000000" w:rsidR="00000000" w:rsidRPr="00000000">
              <w:rPr>
                <w:rtl w:val="0"/>
              </w:rPr>
            </w:r>
          </w:p>
        </w:tc>
      </w:tr>
      <w:tr>
        <w:tc>
          <w:tcPr>
            <w:gridSpan w:val="2"/>
          </w:tcPr>
          <w:p w:rsidR="00000000" w:rsidDel="00000000" w:rsidP="00000000" w:rsidRDefault="00000000" w:rsidRPr="00000000" w14:paraId="000000A1">
            <w:pPr>
              <w:rPr>
                <w:b w:val="1"/>
              </w:rPr>
            </w:pPr>
            <w:r w:rsidDel="00000000" w:rsidR="00000000" w:rsidRPr="00000000">
              <w:rPr>
                <w:b w:val="1"/>
                <w:rtl w:val="0"/>
              </w:rPr>
              <w:t xml:space="preserve">Total time = 60 mins</w:t>
            </w:r>
          </w:p>
        </w:tc>
        <w:tc>
          <w:tcPr>
            <w:gridSpan w:val="2"/>
          </w:tcPr>
          <w:p w:rsidR="00000000" w:rsidDel="00000000" w:rsidP="00000000" w:rsidRDefault="00000000" w:rsidRPr="00000000" w14:paraId="000000A3">
            <w:pPr>
              <w:rPr/>
            </w:pPr>
            <w:r w:rsidDel="00000000" w:rsidR="00000000" w:rsidRPr="00000000">
              <w:rPr>
                <w:rtl w:val="0"/>
              </w:rPr>
            </w:r>
          </w:p>
        </w:tc>
        <w:tc>
          <w:tcPr>
            <w:gridSpan w:val="3"/>
          </w:tcPr>
          <w:p w:rsidR="00000000" w:rsidDel="00000000" w:rsidP="00000000" w:rsidRDefault="00000000" w:rsidRPr="00000000" w14:paraId="000000A5">
            <w:pPr>
              <w:rPr/>
            </w:pPr>
            <w:r w:rsidDel="00000000" w:rsidR="00000000" w:rsidRPr="00000000">
              <w:rPr>
                <w:rtl w:val="0"/>
              </w:rPr>
            </w:r>
          </w:p>
        </w:tc>
        <w:tc>
          <w:tcPr/>
          <w:p w:rsidR="00000000" w:rsidDel="00000000" w:rsidP="00000000" w:rsidRDefault="00000000" w:rsidRPr="00000000" w14:paraId="000000A8">
            <w:pPr>
              <w:rPr/>
            </w:pPr>
            <w:r w:rsidDel="00000000" w:rsidR="00000000" w:rsidRPr="00000000">
              <w:rPr>
                <w:rtl w:val="0"/>
              </w:rPr>
            </w:r>
          </w:p>
        </w:tc>
      </w:tr>
      <w:tr>
        <w:tc>
          <w:tcPr>
            <w:gridSpan w:val="8"/>
            <w:shd w:fill="bfbfbf" w:val="clear"/>
          </w:tcPr>
          <w:p w:rsidR="00000000" w:rsidDel="00000000" w:rsidP="00000000" w:rsidRDefault="00000000" w:rsidRPr="00000000" w14:paraId="000000A9">
            <w:pPr>
              <w:rPr>
                <w:b w:val="1"/>
              </w:rPr>
            </w:pPr>
            <w:r w:rsidDel="00000000" w:rsidR="00000000" w:rsidRPr="00000000">
              <w:rPr>
                <w:rtl w:val="0"/>
              </w:rPr>
            </w:r>
          </w:p>
          <w:p w:rsidR="00000000" w:rsidDel="00000000" w:rsidP="00000000" w:rsidRDefault="00000000" w:rsidRPr="00000000" w14:paraId="000000AA">
            <w:pPr>
              <w:rPr>
                <w:b w:val="1"/>
              </w:rPr>
            </w:pPr>
            <w:r w:rsidDel="00000000" w:rsidR="00000000" w:rsidRPr="00000000">
              <w:rPr>
                <w:b w:val="1"/>
                <w:rtl w:val="0"/>
              </w:rPr>
              <w:t xml:space="preserve">Preparation for next lesson (teacher self-reflection)             Gather student feedback to</w:t>
            </w:r>
          </w:p>
          <w:p w:rsidR="00000000" w:rsidDel="00000000" w:rsidP="00000000" w:rsidRDefault="00000000" w:rsidRPr="00000000" w14:paraId="000000AB">
            <w:pPr>
              <w:rPr>
                <w:b w:val="1"/>
              </w:rPr>
            </w:pPr>
            <w:r w:rsidDel="00000000" w:rsidR="00000000" w:rsidRPr="00000000">
              <w:rPr>
                <w:b w:val="1"/>
                <w:rtl w:val="0"/>
              </w:rPr>
              <w:t xml:space="preserve">                                                                                                            incorporate into your next session</w:t>
            </w:r>
          </w:p>
        </w:tc>
      </w:tr>
      <w:tr>
        <w:tc>
          <w:tcPr>
            <w:gridSpan w:val="8"/>
            <w:shd w:fill="auto" w:val="clear"/>
          </w:tcPr>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Which aspects of the lesson went well? </w:t>
            </w:r>
          </w:p>
          <w:p w:rsidR="00000000" w:rsidDel="00000000" w:rsidP="00000000" w:rsidRDefault="00000000" w:rsidRPr="00000000" w14:paraId="000000B5">
            <w:pPr>
              <w:rPr/>
            </w:pPr>
            <w:r w:rsidDel="00000000" w:rsidR="00000000" w:rsidRPr="00000000">
              <w:rPr>
                <w:rtl w:val="0"/>
              </w:rPr>
              <w:t xml:space="preserve">Which aspects could be improved upon? </w:t>
            </w:r>
          </w:p>
          <w:p w:rsidR="00000000" w:rsidDel="00000000" w:rsidP="00000000" w:rsidRDefault="00000000" w:rsidRPr="00000000" w14:paraId="000000B6">
            <w:pPr>
              <w:rPr/>
            </w:pPr>
            <w:r w:rsidDel="00000000" w:rsidR="00000000" w:rsidRPr="00000000">
              <w:rPr>
                <w:rtl w:val="0"/>
              </w:rPr>
              <w:t xml:space="preserve">What misunderstandings still need to be cleared up?</w:t>
            </w:r>
          </w:p>
          <w:p w:rsidR="00000000" w:rsidDel="00000000" w:rsidP="00000000" w:rsidRDefault="00000000" w:rsidRPr="00000000" w14:paraId="000000B7">
            <w:pPr>
              <w:rPr/>
            </w:pPr>
            <w:r w:rsidDel="00000000" w:rsidR="00000000" w:rsidRPr="00000000">
              <w:rPr>
                <w:rtl w:val="0"/>
              </w:rPr>
              <w:t xml:space="preserve">Actions for the future:</w:t>
            </w:r>
          </w:p>
          <w:p w:rsidR="00000000" w:rsidDel="00000000" w:rsidP="00000000" w:rsidRDefault="00000000" w:rsidRPr="00000000" w14:paraId="000000B8">
            <w:pPr>
              <w:rPr/>
            </w:pPr>
            <w:r w:rsidDel="00000000" w:rsidR="00000000" w:rsidRPr="00000000">
              <w:rPr>
                <w:rtl w:val="0"/>
              </w:rPr>
            </w:r>
          </w:p>
        </w:tc>
      </w:tr>
    </w:tbl>
    <w:p w:rsidR="00000000" w:rsidDel="00000000" w:rsidP="00000000" w:rsidRDefault="00000000" w:rsidRPr="00000000" w14:paraId="000000C0">
      <w:pPr>
        <w:rPr>
          <w:b w:val="1"/>
        </w:rPr>
      </w:pPr>
      <w:r w:rsidDel="00000000" w:rsidR="00000000" w:rsidRPr="00000000">
        <w:rPr>
          <w:rtl w:val="0"/>
        </w:rPr>
      </w:r>
    </w:p>
    <w:sectPr>
      <w:headerReference r:id="rId8" w:type="default"/>
      <w:pgSz w:h="16838" w:w="11906" w:orient="portrait"/>
      <w:pgMar w:bottom="720" w:top="720" w:left="720" w:right="72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1">
    <w:pPr>
      <w:widowControl w:val="0"/>
      <w:spacing w:after="0" w:line="240" w:lineRule="auto"/>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Arial" w:cs="Arial" w:eastAsia="Arial" w:hAnsi="Arial"/>
      </w:rPr>
      <w:drawing>
        <wp:inline distB="114300" distT="114300" distL="114300" distR="114300">
          <wp:extent cx="2081213" cy="51204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1213" cy="512044"/>
                  </a:xfrm>
                  <a:prstGeom prst="rect"/>
                  <a:ln/>
                </pic:spPr>
              </pic:pic>
            </a:graphicData>
          </a:graphic>
        </wp:inline>
      </w:drawing>
    </w:r>
    <w:r w:rsidDel="00000000" w:rsidR="00000000" w:rsidRPr="00000000">
      <w:rPr>
        <w:rtl w:val="0"/>
      </w:rPr>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NoList1" w:customStyle="1">
    <w:name w:val="No List1"/>
    <w:semiHidden w:val="1"/>
    <w:unhideWhenUsed w:val="1"/>
  </w:style>
  <w:style w:type="table" w:styleId="TableGrid">
    <w:name w:val="Table Grid"/>
    <w:basedOn w:val="TableNormal"/>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1" w:customStyle="1">
    <w:name w:val="List Paragraph1"/>
    <w:basedOn w:val="Normal"/>
    <w:qFormat w:val="1"/>
    <w:pPr>
      <w:ind w:left="720"/>
      <w:contextualSpacing w:val="1"/>
    </w:pPr>
  </w:style>
  <w:style w:type="paragraph" w:styleId="Header">
    <w:name w:val="header"/>
    <w:basedOn w:val="Normal"/>
    <w:next w:val="Normal"/>
    <w:link w:val="HeaderChar"/>
    <w:unhideWhenUsed w:val="1"/>
    <w:pPr>
      <w:tabs>
        <w:tab w:val="center" w:pos="4513"/>
        <w:tab w:val="right" w:pos="9026"/>
      </w:tabs>
      <w:spacing w:after="0" w:line="240" w:lineRule="auto"/>
    </w:pPr>
  </w:style>
  <w:style w:type="character" w:styleId="HeaderChar" w:customStyle="1">
    <w:name w:val="Header Char"/>
    <w:basedOn w:val="DefaultParagraphFont"/>
    <w:link w:val="Header"/>
  </w:style>
  <w:style w:type="paragraph" w:styleId="Footer">
    <w:name w:val="footer"/>
    <w:basedOn w:val="Normal"/>
    <w:link w:val="FooterChar"/>
    <w:unhideWhenUsed w:val="1"/>
    <w:pPr>
      <w:tabs>
        <w:tab w:val="center" w:pos="4513"/>
        <w:tab w:val="right" w:pos="9026"/>
      </w:tabs>
      <w:spacing w:after="0" w:line="240" w:lineRule="auto"/>
    </w:pPr>
  </w:style>
  <w:style w:type="character" w:styleId="FooterChar" w:customStyle="1">
    <w:name w:val="Footer Char"/>
    <w:basedOn w:val="DefaultParagraphFont"/>
    <w:link w:val="Footer"/>
  </w:style>
  <w:style w:type="paragraph" w:styleId="BalloonText">
    <w:name w:val="Balloon Text"/>
    <w:basedOn w:val="Normal"/>
    <w:link w:val="BalloonTextChar"/>
    <w:semiHidden w:val="1"/>
    <w:unhideWhenUsed w:val="1"/>
    <w:pPr>
      <w:spacing w:after="0" w:line="240" w:lineRule="auto"/>
    </w:pPr>
    <w:rPr>
      <w:rFonts w:ascii="Tahoma" w:cs="Tahoma" w:eastAsia="Tahoma" w:hAnsi="Tahoma"/>
      <w:sz w:val="16"/>
      <w:szCs w:val="16"/>
    </w:rPr>
  </w:style>
  <w:style w:type="character" w:styleId="BalloonTextChar" w:customStyle="1">
    <w:name w:val="Balloon Text Char"/>
    <w:basedOn w:val="DefaultParagraphFont"/>
    <w:link w:val="BalloonText"/>
    <w:semiHidden w:val="1"/>
    <w:rPr>
      <w:rFonts w:ascii="Tahoma" w:cs="Tahoma" w:eastAsia="Tahoma" w:hAnsi="Tahoma"/>
      <w:sz w:val="16"/>
      <w:szCs w:val="16"/>
    </w:rPr>
  </w:style>
  <w:style w:type="character" w:styleId="Hyperlink">
    <w:name w:val="Hyperlink"/>
    <w:basedOn w:val="DefaultParagraphFont"/>
    <w:uiPriority w:val="99"/>
    <w:unhideWhenUsed w:val="1"/>
    <w:rsid w:val="00C47B30"/>
    <w:rPr>
      <w:color w:val="0563c1" w:themeColor="hyperlink"/>
      <w:u w:val="single"/>
    </w:rPr>
  </w:style>
  <w:style w:type="character" w:styleId="UnresolvedMention">
    <w:name w:val="Unresolved Mention"/>
    <w:basedOn w:val="DefaultParagraphFont"/>
    <w:uiPriority w:val="99"/>
    <w:semiHidden w:val="1"/>
    <w:unhideWhenUsed w:val="1"/>
    <w:rsid w:val="00C47B30"/>
    <w:rPr>
      <w:color w:val="605e5c"/>
      <w:shd w:color="auto" w:fill="e1dfdd" w:val="clear"/>
    </w:rPr>
  </w:style>
  <w:style w:type="paragraph" w:styleId="ListParagraph">
    <w:name w:val="List Paragraph"/>
    <w:basedOn w:val="Normal"/>
    <w:uiPriority w:val="34"/>
    <w:qFormat w:val="1"/>
    <w:rsid w:val="004C3CBC"/>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aai.org/AAISite/media/Education/HST/Archive/2003_Porter_Final.pdf"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Ph4w8d9WNh0Ccs+tR6Qn5ptsGQ==">AMUW2mX594NUAnArBs2ZTAoaIJLQbgPY5Z5HoWAHCJyUGrvuH9OX/I4iyIGNoCNIqcEF9bE1yJwBQ5AL7Wd1Jsi7DqC2658ziFoSqvy5dAGNaEcgozpxxoY=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2021-01-12T23:22:00Z</dcterms:created>
  <dc:creator>Edison Huynh</dc:creator>
</cp:coreProperties>
</file>